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597"/>
        <w:gridCol w:w="3515"/>
      </w:tblGrid>
      <w:tr w:rsidR="00C82E75" w:rsidRPr="007D75B5" w:rsidTr="00C82E75">
        <w:tc>
          <w:tcPr>
            <w:tcW w:w="60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82E75" w:rsidRPr="007D75B5" w:rsidRDefault="00C82E75" w:rsidP="00C82E75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 xml:space="preserve">متیل ایزوبوتیل کتون 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82E75" w:rsidRPr="00C82E75" w:rsidRDefault="00C82E75" w:rsidP="00C82E75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82E75">
              <w:rPr>
                <w:rFonts w:cs="Arial"/>
                <w:b/>
                <w:bCs/>
                <w:sz w:val="28"/>
                <w:szCs w:val="28"/>
              </w:rPr>
              <w:t xml:space="preserve">Methyl isobutyl </w:t>
            </w:r>
            <w:proofErr w:type="spellStart"/>
            <w:r w:rsidRPr="00C82E75">
              <w:rPr>
                <w:rFonts w:cs="Arial"/>
                <w:b/>
                <w:bCs/>
                <w:sz w:val="28"/>
                <w:szCs w:val="28"/>
              </w:rPr>
              <w:t>ketone</w:t>
            </w:r>
            <w:proofErr w:type="spellEnd"/>
          </w:p>
        </w:tc>
      </w:tr>
      <w:tr w:rsidR="00BC3AA5" w:rsidRPr="007D75B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D75B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(CH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7D75B5" w:rsidRPr="007D75B5">
              <w:rPr>
                <w:rFonts w:cs="B Mitra"/>
                <w:sz w:val="28"/>
                <w:szCs w:val="28"/>
              </w:rPr>
              <w:t>)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D75B5" w:rsidRPr="007D75B5">
              <w:rPr>
                <w:rFonts w:cs="B Mitra"/>
                <w:sz w:val="28"/>
                <w:szCs w:val="28"/>
              </w:rPr>
              <w:t>CHCH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D75B5" w:rsidRPr="007D75B5">
              <w:rPr>
                <w:rFonts w:cs="B Mitra"/>
                <w:sz w:val="28"/>
                <w:szCs w:val="28"/>
              </w:rPr>
              <w:t>COCH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7D75B5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16/100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7D75B5" w:rsidRPr="007D75B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108-10-1</w:t>
            </w:r>
          </w:p>
          <w:p w:rsidR="00BC3AA5" w:rsidRPr="007D75B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D75B5" w:rsidRPr="007D75B5">
              <w:rPr>
                <w:rFonts w:cs="B Mitra"/>
                <w:sz w:val="28"/>
                <w:szCs w:val="28"/>
              </w:rPr>
              <w:t>SA9275000</w:t>
            </w:r>
          </w:p>
        </w:tc>
      </w:tr>
      <w:tr w:rsidR="00DC62BE" w:rsidRPr="007D75B5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7D75B5" w:rsidRDefault="00DC62BE" w:rsidP="00BC3AA5">
            <w:p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MIBK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؛ هگزون؛ ایزوپروپیل استون؛ 4-متیل-2-پنتانون</w:t>
            </w:r>
          </w:p>
        </w:tc>
      </w:tr>
      <w:tr w:rsidR="00BC3AA5" w:rsidRPr="007D75B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5B5" w:rsidRDefault="00BC3AA5" w:rsidP="007D75B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مایع؛ فشار بخار </w:t>
            </w:r>
            <w:r w:rsidR="007D75B5" w:rsidRPr="007D75B5">
              <w:rPr>
                <w:rFonts w:cs="B Mitra"/>
                <w:sz w:val="28"/>
                <w:szCs w:val="28"/>
              </w:rPr>
              <w:t>mmHg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15 (</w:t>
            </w:r>
            <w:proofErr w:type="spellStart"/>
            <w:r w:rsidR="007D75B5" w:rsidRPr="007D75B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2)؛ نقطه جوش</w:t>
            </w:r>
            <w:r w:rsidR="007D75B5" w:rsidRPr="007D75B5">
              <w:rPr>
                <w:rFonts w:cs="B Mitra"/>
                <w:sz w:val="28"/>
                <w:szCs w:val="28"/>
              </w:rPr>
              <w:t xml:space="preserve"> ˚c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117 ؛ دانسیته </w:t>
            </w:r>
            <w:r w:rsidR="007D75B5" w:rsidRPr="007D75B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7D75B5" w:rsidRPr="007D75B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8/0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7D75B5" w:rsidRPr="007D75B5" w:rsidRDefault="00BC3AA5" w:rsidP="007D75B5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C82E75"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C82E75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:50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</w:rPr>
              <w:t xml:space="preserve"> STEL; </w:t>
            </w:r>
            <w:r w:rsidR="00C82E75">
              <w:rPr>
                <w:rFonts w:cs="B Mitra"/>
                <w:sz w:val="26"/>
                <w:szCs w:val="26"/>
              </w:rPr>
              <w:t xml:space="preserve"> 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  </w:t>
            </w:r>
            <w:r w:rsidR="007D75B5" w:rsidRPr="00C82E75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C82E75">
              <w:rPr>
                <w:rFonts w:cs="B Mitra"/>
                <w:sz w:val="26"/>
                <w:szCs w:val="26"/>
              </w:rPr>
              <w:t>: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</w:rPr>
              <w:t xml:space="preserve"> STEL;</w:t>
            </w:r>
          </w:p>
          <w:p w:rsidR="00BC3AA5" w:rsidRPr="007D75B5" w:rsidRDefault="007D75B5" w:rsidP="007D75B5">
            <w:pPr>
              <w:ind w:firstLine="946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6"/>
                <w:szCs w:val="26"/>
              </w:rPr>
              <w:t xml:space="preserve">  </w:t>
            </w:r>
            <w:r w:rsidRPr="00C82E75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7D75B5">
              <w:rPr>
                <w:rFonts w:cs="B Mitra"/>
                <w:sz w:val="26"/>
                <w:szCs w:val="26"/>
              </w:rPr>
              <w:t xml:space="preserve">: 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7D75B5">
              <w:rPr>
                <w:rFonts w:cs="B Mitra"/>
                <w:sz w:val="26"/>
                <w:szCs w:val="26"/>
              </w:rPr>
              <w:t xml:space="preserve"> STEL  </w:t>
            </w:r>
            <w:r w:rsidR="00C82E75">
              <w:rPr>
                <w:rFonts w:cs="B Mitra"/>
                <w:sz w:val="26"/>
                <w:szCs w:val="26"/>
              </w:rPr>
              <w:t xml:space="preserve">                                                                       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7D75B5">
              <w:rPr>
                <w:rFonts w:cs="B Mitra"/>
                <w:sz w:val="28"/>
                <w:szCs w:val="28"/>
              </w:rPr>
              <w:t>˚c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 w:rsidP="00257B2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Pr="007D75B5">
              <w:rPr>
                <w:rFonts w:cs="B Mitra"/>
                <w:sz w:val="28"/>
                <w:szCs w:val="28"/>
              </w:rPr>
              <w:t>(CS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57B24"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7D75B5" w:rsidRDefault="007D75B5" w:rsidP="007D75B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آنالیت (متیل ایزوبوتیل کتون)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نیتروژن؛ پیش تصفیه شده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هوا؛ تصفیه شده، خشک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7D75B5">
              <w:rPr>
                <w:rFonts w:cs="B Mitra"/>
                <w:sz w:val="28"/>
                <w:szCs w:val="28"/>
              </w:rPr>
              <w:t>cm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7D75B5">
              <w:rPr>
                <w:rFonts w:cs="B Mitra"/>
                <w:sz w:val="28"/>
                <w:szCs w:val="28"/>
              </w:rPr>
              <w:t>mm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7D75B5">
              <w:rPr>
                <w:rFonts w:cs="B Mitra"/>
                <w:sz w:val="28"/>
                <w:szCs w:val="28"/>
              </w:rPr>
              <w:t>mm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7D75B5">
              <w:rPr>
                <w:rFonts w:cs="B Mitra"/>
                <w:sz w:val="28"/>
                <w:szCs w:val="28"/>
              </w:rPr>
              <w:t>˚c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>100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>50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7D75B5">
              <w:rPr>
                <w:rFonts w:cs="B Mitra"/>
                <w:sz w:val="28"/>
                <w:szCs w:val="28"/>
              </w:rPr>
              <w:t>L/min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7D75B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7D75B5">
              <w:rPr>
                <w:rFonts w:cs="B Mitra"/>
                <w:sz w:val="28"/>
                <w:szCs w:val="28"/>
              </w:rPr>
              <w:t>mmHg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7D75B5">
              <w:rPr>
                <w:rFonts w:cs="B Mitra"/>
                <w:sz w:val="28"/>
                <w:szCs w:val="28"/>
              </w:rPr>
              <w:t>L/min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7D75B5">
              <w:rPr>
                <w:rFonts w:cstheme="minorHAnsi"/>
                <w:sz w:val="28"/>
                <w:szCs w:val="28"/>
                <w:rtl/>
              </w:rPr>
              <w:t>–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7D75B5">
              <w:rPr>
                <w:rFonts w:cs="B Mitra"/>
                <w:sz w:val="28"/>
                <w:szCs w:val="28"/>
              </w:rPr>
              <w:t>PTFE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پیپت ؛ 1 میلی لیتری، به همراه </w:t>
            </w:r>
            <w:proofErr w:type="spellStart"/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pipet</w:t>
            </w:r>
            <w:proofErr w:type="spellEnd"/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 xml:space="preserve"> bulb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7D75B5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7D75B5" w:rsidRDefault="004E70F9" w:rsidP="007D75B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7D75B5">
              <w:rPr>
                <w:rFonts w:cs="B Mitra"/>
                <w:sz w:val="28"/>
                <w:szCs w:val="28"/>
              </w:rPr>
              <w:t>L/min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7D75B5">
              <w:rPr>
                <w:rFonts w:cstheme="minorHAnsi"/>
                <w:sz w:val="28"/>
                <w:szCs w:val="28"/>
                <w:rtl/>
              </w:rPr>
              <w:t>–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01/0 برای عبور حجم هوای 1 تا 10 لیتر انجام دهید.</w:t>
            </w:r>
          </w:p>
          <w:p w:rsidR="004E70F9" w:rsidRPr="007D75B5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7D75B5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7D75B5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7D75B5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7D75B5" w:rsidRDefault="004E70F9" w:rsidP="00B3048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ویال ها را به مدت 30 دقیقه در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>همزن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قرار دهید.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4E70F9" w:rsidP="004E70F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02/0 تا 10 میلی گرم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متیل ایزوبوتیل کتون </w:t>
            </w:r>
            <w:r w:rsidRPr="007D75B5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متیل ایزوبوتیل کتون </w:t>
            </w:r>
            <w:r w:rsidRPr="007D75B5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متیل ایزوبوتیل کتون</w:t>
            </w:r>
            <w:r w:rsidRPr="007D75B5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7D75B5">
              <w:rPr>
                <w:rFonts w:cs="B Mitra"/>
                <w:sz w:val="28"/>
                <w:szCs w:val="28"/>
              </w:rPr>
              <w:t>(DE)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7D75B5" w:rsidRDefault="00202D60" w:rsidP="007D75B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متیل ایزوبوتیل کتون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آن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در کربن دی سولفید را مستقیما به بخش جلویی جاذب تزریق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نمونه ها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7D75B5" w:rsidRDefault="00202D60" w:rsidP="00B3048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مجهول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کنترل کیفی و سه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آنالیت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7D75B5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آنالیت(ماده مورد تجزیه): ترکیبات مندرج شده در جدول 1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7D75B5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7D75B5">
              <w:rPr>
                <w:rFonts w:cs="B Mitra"/>
                <w:sz w:val="24"/>
                <w:szCs w:val="24"/>
                <w:rtl/>
              </w:rPr>
              <w:t xml:space="preserve"> 1 کربن دی سولفید    </w:t>
            </w:r>
          </w:p>
          <w:p w:rsidR="007D75B5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ْ250  </w:t>
            </w:r>
          </w:p>
          <w:p w:rsidR="007D75B5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ْ50 تا 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ْ170 در </w:t>
            </w:r>
            <w:r w:rsidRPr="007D75B5">
              <w:rPr>
                <w:rFonts w:cs="B Mitra"/>
                <w:sz w:val="24"/>
                <w:szCs w:val="24"/>
              </w:rPr>
              <w:t>˚c/min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D75B5">
              <w:rPr>
                <w:rFonts w:cs="B Mitra"/>
                <w:sz w:val="24"/>
                <w:szCs w:val="24"/>
              </w:rPr>
              <w:t>µL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7D75B5">
              <w:rPr>
                <w:rFonts w:cs="B Mitra"/>
                <w:sz w:val="24"/>
                <w:szCs w:val="24"/>
              </w:rPr>
              <w:t>N</w:t>
            </w:r>
            <w:r w:rsidRPr="007D75B5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>/min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7D75B5" w:rsidRDefault="00202D60" w:rsidP="002C10C9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>شیشه ای، با قطر داخلی</w:t>
            </w:r>
            <w:r w:rsidRPr="007D75B5">
              <w:rPr>
                <w:rFonts w:cs="B Mitra"/>
                <w:sz w:val="24"/>
                <w:szCs w:val="24"/>
              </w:rPr>
              <w:t>mm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6  </w:t>
            </w:r>
            <w:r w:rsidR="002C10C9" w:rsidRPr="007D75B5">
              <w:rPr>
                <w:rFonts w:cs="B Mitra"/>
                <w:sz w:val="24"/>
                <w:szCs w:val="24"/>
              </w:rPr>
              <w:t xml:space="preserve">(10% SP2100 0.1%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Carbowax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 xml:space="preserve"> 1500 on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Chromosorb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 xml:space="preserve"> WHP)</w:t>
            </w:r>
          </w:p>
          <w:p w:rsidR="002C10C9" w:rsidRPr="007D75B5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2C10C9" w:rsidRPr="007D75B5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Pr="007D75B5">
              <w:rPr>
                <w:rFonts w:cs="B Mitra"/>
                <w:sz w:val="28"/>
                <w:szCs w:val="28"/>
              </w:rPr>
              <w:t>10% SP-2100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یا ستون موئین سیلیکای ذوب شده </w:t>
            </w:r>
            <w:r w:rsidRPr="007D75B5">
              <w:rPr>
                <w:rFonts w:cs="B Mitra"/>
                <w:sz w:val="28"/>
                <w:szCs w:val="28"/>
              </w:rPr>
              <w:t>DB-1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متیل ایزوبوتیل کتون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7D75B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D75B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7D75B5">
              <w:rPr>
                <w:rFonts w:cs="B Mitra"/>
                <w:sz w:val="28"/>
                <w:szCs w:val="28"/>
              </w:rPr>
              <w:t>(B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D75B5">
              <w:rPr>
                <w:rFonts w:cs="B Mitra"/>
                <w:sz w:val="28"/>
                <w:szCs w:val="28"/>
              </w:rPr>
              <w:t>(B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7D75B5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/10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7D75B5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7D75B5">
              <w:rPr>
                <w:rFonts w:cs="B Mitra"/>
                <w:sz w:val="28"/>
                <w:szCs w:val="28"/>
              </w:rPr>
              <w:t>(C)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متیل ایزوبوتیل کتون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7D75B5">
              <w:rPr>
                <w:rFonts w:cs="B Mitra"/>
                <w:sz w:val="28"/>
                <w:szCs w:val="28"/>
              </w:rPr>
              <w:t>(V)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7D75B5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7D75B5" w:rsidRDefault="00B06833" w:rsidP="00C82E75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1D2031">
      <w:footerReference w:type="default" r:id="rId7"/>
      <w:pgSz w:w="11906" w:h="16838"/>
      <w:pgMar w:top="1440" w:right="1440" w:bottom="1440" w:left="1440" w:header="708" w:footer="708" w:gutter="0"/>
      <w:pgNumType w:start="50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273" w:rsidRDefault="00921273" w:rsidP="001D2031">
      <w:pPr>
        <w:spacing w:line="240" w:lineRule="auto"/>
      </w:pPr>
      <w:r>
        <w:separator/>
      </w:r>
    </w:p>
  </w:endnote>
  <w:endnote w:type="continuationSeparator" w:id="0">
    <w:p w:rsidR="00921273" w:rsidRDefault="00921273" w:rsidP="001D20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893469"/>
      <w:docPartObj>
        <w:docPartGallery w:val="Page Numbers (Bottom of Page)"/>
        <w:docPartUnique/>
      </w:docPartObj>
    </w:sdtPr>
    <w:sdtContent>
      <w:p w:rsidR="001D2031" w:rsidRDefault="001D203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503</w:t>
          </w:r>
        </w:fldSimple>
      </w:p>
    </w:sdtContent>
  </w:sdt>
  <w:p w:rsidR="001D2031" w:rsidRDefault="001D20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273" w:rsidRDefault="00921273" w:rsidP="001D2031">
      <w:pPr>
        <w:spacing w:line="240" w:lineRule="auto"/>
      </w:pPr>
      <w:r>
        <w:separator/>
      </w:r>
    </w:p>
  </w:footnote>
  <w:footnote w:type="continuationSeparator" w:id="0">
    <w:p w:rsidR="00921273" w:rsidRDefault="00921273" w:rsidP="001D20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6BB"/>
    <w:rsid w:val="00101F45"/>
    <w:rsid w:val="001800A6"/>
    <w:rsid w:val="001D2031"/>
    <w:rsid w:val="00202D60"/>
    <w:rsid w:val="00257B24"/>
    <w:rsid w:val="00284A05"/>
    <w:rsid w:val="002C10C9"/>
    <w:rsid w:val="002C27B3"/>
    <w:rsid w:val="002E48E3"/>
    <w:rsid w:val="0031259A"/>
    <w:rsid w:val="003816E0"/>
    <w:rsid w:val="003D7B3C"/>
    <w:rsid w:val="00426757"/>
    <w:rsid w:val="0046354B"/>
    <w:rsid w:val="00480512"/>
    <w:rsid w:val="004D4D24"/>
    <w:rsid w:val="004E70F9"/>
    <w:rsid w:val="00512DCB"/>
    <w:rsid w:val="00551905"/>
    <w:rsid w:val="00743F2F"/>
    <w:rsid w:val="007D75B5"/>
    <w:rsid w:val="00921273"/>
    <w:rsid w:val="00922B26"/>
    <w:rsid w:val="00927F57"/>
    <w:rsid w:val="00963DE4"/>
    <w:rsid w:val="009D73D2"/>
    <w:rsid w:val="00A00F8C"/>
    <w:rsid w:val="00AB03C3"/>
    <w:rsid w:val="00AF5335"/>
    <w:rsid w:val="00B06833"/>
    <w:rsid w:val="00B30486"/>
    <w:rsid w:val="00BC3AA5"/>
    <w:rsid w:val="00BC7A85"/>
    <w:rsid w:val="00C36F1B"/>
    <w:rsid w:val="00C82E75"/>
    <w:rsid w:val="00D20316"/>
    <w:rsid w:val="00DC62BE"/>
    <w:rsid w:val="00E3146F"/>
    <w:rsid w:val="00E52270"/>
    <w:rsid w:val="00E77AC6"/>
    <w:rsid w:val="00E97D35"/>
    <w:rsid w:val="00ED1A3C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20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031"/>
  </w:style>
  <w:style w:type="paragraph" w:styleId="Footer">
    <w:name w:val="footer"/>
    <w:basedOn w:val="Normal"/>
    <w:link w:val="FooterChar"/>
    <w:uiPriority w:val="99"/>
    <w:unhideWhenUsed/>
    <w:rsid w:val="001D20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21</cp:revision>
  <dcterms:created xsi:type="dcterms:W3CDTF">2011-06-30T12:39:00Z</dcterms:created>
  <dcterms:modified xsi:type="dcterms:W3CDTF">2011-10-07T22:09:00Z</dcterms:modified>
</cp:coreProperties>
</file>