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7548A8" w:rsidP="00A90489">
            <w:pPr>
              <w:jc w:val="left"/>
              <w:rPr>
                <w:rFonts w:cs="B Mitra"/>
                <w:b/>
                <w:bCs/>
                <w:sz w:val="28"/>
                <w:szCs w:val="28"/>
                <w:rtl/>
              </w:rPr>
            </w:pPr>
            <w:r>
              <w:rPr>
                <w:rFonts w:cs="B Mitra"/>
                <w:b/>
                <w:bCs/>
                <w:sz w:val="28"/>
                <w:szCs w:val="28"/>
                <w:rtl/>
              </w:rPr>
              <w:t>پروپالدهید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7548A8" w:rsidP="00A90489">
            <w:pPr>
              <w:jc w:val="right"/>
              <w:rPr>
                <w:rFonts w:cs="B Mitra"/>
                <w:b/>
                <w:bCs/>
                <w:sz w:val="28"/>
                <w:szCs w:val="28"/>
                <w:rtl/>
              </w:rPr>
            </w:pPr>
            <w:proofErr w:type="spellStart"/>
            <w:r w:rsidRPr="007548A8">
              <w:rPr>
                <w:rFonts w:cs="Arial"/>
                <w:b/>
                <w:bCs/>
                <w:sz w:val="28"/>
                <w:szCs w:val="28"/>
              </w:rPr>
              <w:t>propaldehyde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3255A5">
              <w:rPr>
                <w:rFonts w:cs="B Mitra" w:hint="cs"/>
                <w:sz w:val="28"/>
                <w:szCs w:val="28"/>
                <w:rtl/>
              </w:rPr>
              <w:t>پروپانال</w:t>
            </w:r>
            <w:r w:rsidR="00CC0FC7">
              <w:rPr>
                <w:rFonts w:cs="B Mitra" w:hint="cs"/>
                <w:sz w:val="28"/>
                <w:szCs w:val="28"/>
                <w:rtl/>
              </w:rPr>
              <w:t xml:space="preserve">؛ </w:t>
            </w:r>
            <w:r w:rsidR="003255A5">
              <w:rPr>
                <w:rFonts w:cs="B Mitra" w:hint="cs"/>
                <w:sz w:val="28"/>
                <w:szCs w:val="28"/>
                <w:rtl/>
              </w:rPr>
              <w:t xml:space="preserve">پروپیل </w:t>
            </w:r>
            <w:r w:rsidR="00CC0FC7">
              <w:rPr>
                <w:rFonts w:cs="B Mitra" w:hint="cs"/>
                <w:sz w:val="28"/>
                <w:szCs w:val="28"/>
                <w:rtl/>
              </w:rPr>
              <w:t xml:space="preserve">آلدهید؛ </w:t>
            </w:r>
            <w:r w:rsidR="003255A5">
              <w:rPr>
                <w:rFonts w:cs="B Mitra" w:hint="cs"/>
                <w:sz w:val="28"/>
                <w:szCs w:val="28"/>
                <w:rtl/>
              </w:rPr>
              <w:t>متیل استا</w:t>
            </w:r>
            <w:r w:rsidR="00CC0FC7">
              <w:rPr>
                <w:rFonts w:cs="B Mitra" w:hint="cs"/>
                <w:sz w:val="28"/>
                <w:szCs w:val="28"/>
                <w:rtl/>
              </w:rPr>
              <w:t xml:space="preserve">لدهید؛ </w:t>
            </w:r>
            <w:r w:rsidR="007548A8" w:rsidRPr="007548A8">
              <w:rPr>
                <w:rFonts w:cs="B Mitra" w:hint="cs"/>
                <w:sz w:val="28"/>
                <w:szCs w:val="28"/>
                <w:rtl/>
              </w:rPr>
              <w:t>پروپیونالدهید</w:t>
            </w:r>
            <w:r w:rsidR="003255A5">
              <w:rPr>
                <w:rFonts w:cs="B Mitra" w:hint="cs"/>
                <w:sz w:val="28"/>
                <w:szCs w:val="28"/>
                <w:rtl/>
              </w:rPr>
              <w:t>؛ پروپیلیک آلدهید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7548A8" w:rsidP="003255A5">
            <w:pPr>
              <w:rPr>
                <w:rFonts w:cs="B Mitra"/>
                <w:sz w:val="28"/>
                <w:szCs w:val="28"/>
                <w:rtl/>
              </w:rPr>
            </w:pPr>
            <w:r>
              <w:rPr>
                <w:rFonts w:cs="B Mitra" w:hint="cs"/>
                <w:sz w:val="28"/>
                <w:szCs w:val="28"/>
                <w:rtl/>
              </w:rPr>
              <w:t>پروپالدهید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پروپالدهید</w:t>
            </w:r>
            <w:r w:rsidR="003255A5">
              <w:rPr>
                <w:rFonts w:cs="B Mitra" w:hint="cs"/>
                <w:sz w:val="28"/>
                <w:szCs w:val="28"/>
                <w:rtl/>
              </w:rPr>
              <w:t xml:space="preserve"> موجود نیست. </w:t>
            </w:r>
            <w:r>
              <w:rPr>
                <w:rFonts w:cs="B Mitra" w:hint="cs"/>
                <w:sz w:val="28"/>
                <w:szCs w:val="28"/>
                <w:rtl/>
              </w:rPr>
              <w:t>پروپالدهید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پروپالدهید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پروپالدهید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7548A8">
              <w:rPr>
                <w:rFonts w:cs="B Mitra" w:hint="cs"/>
                <w:sz w:val="28"/>
                <w:szCs w:val="28"/>
                <w:rtl/>
              </w:rPr>
              <w:t>پروپالدهید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7548A8">
              <w:rPr>
                <w:rFonts w:cs="B Mitra" w:hint="cs"/>
                <w:sz w:val="28"/>
                <w:szCs w:val="28"/>
                <w:rtl/>
              </w:rPr>
              <w:t>پروپالدهید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7548A8" w:rsidP="00343314">
            <w:pPr>
              <w:pStyle w:val="ListParagraph"/>
              <w:numPr>
                <w:ilvl w:val="0"/>
                <w:numId w:val="1"/>
              </w:numPr>
              <w:rPr>
                <w:rFonts w:cs="B Mitra"/>
                <w:sz w:val="28"/>
                <w:szCs w:val="28"/>
              </w:rPr>
            </w:pPr>
            <w:r>
              <w:rPr>
                <w:rFonts w:cs="B Mitra" w:hint="cs"/>
                <w:sz w:val="28"/>
                <w:szCs w:val="28"/>
                <w:rtl/>
              </w:rPr>
              <w:t>پروپالدهید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7548A8">
              <w:rPr>
                <w:rFonts w:cs="B Mitra" w:hint="cs"/>
                <w:sz w:val="28"/>
                <w:szCs w:val="28"/>
                <w:rtl/>
              </w:rPr>
              <w:t>پروپالدهید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7548A8">
              <w:rPr>
                <w:rFonts w:cs="B Mitra" w:hint="cs"/>
                <w:sz w:val="28"/>
                <w:szCs w:val="28"/>
                <w:rtl/>
              </w:rPr>
              <w:t>پروپالدهید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lastRenderedPageBreak/>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7548A8">
              <w:rPr>
                <w:rFonts w:cs="B Mitra" w:hint="cs"/>
                <w:sz w:val="28"/>
                <w:szCs w:val="28"/>
                <w:rtl/>
              </w:rPr>
              <w:t>پروپالدهید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7548A8">
              <w:rPr>
                <w:rFonts w:cs="B Mitra" w:hint="cs"/>
                <w:sz w:val="28"/>
                <w:szCs w:val="28"/>
                <w:rtl/>
              </w:rPr>
              <w:t>پروپالدهید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7548A8">
              <w:rPr>
                <w:rFonts w:cs="B Mitra" w:hint="cs"/>
                <w:sz w:val="28"/>
                <w:szCs w:val="28"/>
                <w:rtl/>
              </w:rPr>
              <w:t>پروپالدهید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7548A8">
              <w:rPr>
                <w:rFonts w:cs="B Mitra" w:hint="cs"/>
                <w:sz w:val="28"/>
                <w:szCs w:val="28"/>
                <w:rtl/>
              </w:rPr>
              <w:t>پروپالدهید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7548A8">
              <w:rPr>
                <w:rFonts w:cs="B Mitra" w:hint="cs"/>
                <w:sz w:val="28"/>
                <w:szCs w:val="28"/>
                <w:rtl/>
              </w:rPr>
              <w:t>پروپالدهید</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7548A8">
              <w:rPr>
                <w:rFonts w:cs="B Mitra" w:hint="cs"/>
                <w:sz w:val="28"/>
                <w:szCs w:val="28"/>
                <w:rtl/>
              </w:rPr>
              <w:t>پروپالدهید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7548A8">
              <w:rPr>
                <w:rFonts w:cs="B Mitra" w:hint="cs"/>
                <w:sz w:val="28"/>
                <w:szCs w:val="28"/>
                <w:rtl/>
              </w:rPr>
              <w:t>پروپالدهید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7548A8">
              <w:rPr>
                <w:rFonts w:cs="B Mitra" w:hint="cs"/>
                <w:sz w:val="28"/>
                <w:szCs w:val="28"/>
                <w:rtl/>
              </w:rPr>
              <w:t>پروپالدهید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7548A8">
              <w:rPr>
                <w:rFonts w:cs="B Mitra" w:hint="cs"/>
                <w:sz w:val="28"/>
                <w:szCs w:val="28"/>
                <w:rtl/>
              </w:rPr>
              <w:t>پروپالدهید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7548A8">
              <w:rPr>
                <w:rFonts w:cs="B Mitra" w:hint="cs"/>
                <w:sz w:val="28"/>
                <w:szCs w:val="28"/>
                <w:rtl/>
              </w:rPr>
              <w:t>پروپالدهید</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7548A8">
              <w:rPr>
                <w:rFonts w:cs="B Mitra" w:hint="cs"/>
                <w:sz w:val="28"/>
                <w:szCs w:val="28"/>
                <w:rtl/>
              </w:rPr>
              <w:t>پروپالدهید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w:t>
            </w:r>
            <w:r w:rsidR="008C604A">
              <w:rPr>
                <w:rFonts w:cs="B Mitra" w:hint="cs"/>
                <w:sz w:val="28"/>
                <w:szCs w:val="28"/>
                <w:rtl/>
              </w:rPr>
              <w:lastRenderedPageBreak/>
              <w:t xml:space="preserve">بیشتر از 90 میکرولیتر می تواند موجب شود شود واکنش </w:t>
            </w:r>
            <w:r w:rsidR="007548A8">
              <w:rPr>
                <w:rFonts w:cs="B Mitra" w:hint="cs"/>
                <w:sz w:val="28"/>
                <w:szCs w:val="28"/>
                <w:rtl/>
              </w:rPr>
              <w:t>پروپالدهید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7548A8">
              <w:rPr>
                <w:rFonts w:cs="B Mitra"/>
                <w:sz w:val="28"/>
                <w:szCs w:val="28"/>
                <w:rtl/>
              </w:rPr>
              <w:t>پروپالدهید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7548A8">
              <w:rPr>
                <w:rFonts w:cs="B Mitra" w:hint="cs"/>
                <w:sz w:val="28"/>
                <w:szCs w:val="28"/>
                <w:rtl/>
              </w:rPr>
              <w:t>پروپالدهید</w:t>
            </w:r>
            <w:r>
              <w:rPr>
                <w:rFonts w:cs="B Mitra" w:hint="cs"/>
                <w:sz w:val="28"/>
                <w:szCs w:val="28"/>
                <w:rtl/>
              </w:rPr>
              <w:t xml:space="preserve"> بازیافت شده را بر غلظت </w:t>
            </w:r>
            <w:r w:rsidR="007548A8">
              <w:rPr>
                <w:rFonts w:cs="B Mitra" w:hint="cs"/>
                <w:sz w:val="28"/>
                <w:szCs w:val="28"/>
                <w:rtl/>
              </w:rPr>
              <w:t>پروپالدهید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7548A8">
              <w:rPr>
                <w:rFonts w:cs="B Mitra" w:hint="cs"/>
                <w:sz w:val="28"/>
                <w:szCs w:val="28"/>
                <w:rtl/>
              </w:rPr>
              <w:t>پروپالدهید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7548A8">
              <w:rPr>
                <w:rFonts w:cs="B Mitra" w:hint="cs"/>
                <w:sz w:val="24"/>
                <w:szCs w:val="24"/>
                <w:rtl/>
              </w:rPr>
              <w:t>پروپالدهید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7548A8">
              <w:rPr>
                <w:rFonts w:cs="B Mitra" w:hint="cs"/>
                <w:sz w:val="28"/>
                <w:szCs w:val="28"/>
                <w:rtl/>
              </w:rPr>
              <w:t>پروپالدهید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7548A8">
              <w:rPr>
                <w:rFonts w:cs="B Mitra" w:hint="cs"/>
                <w:sz w:val="28"/>
                <w:szCs w:val="28"/>
                <w:rtl/>
              </w:rPr>
              <w:t>پروپالدهید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7548A8">
              <w:rPr>
                <w:rFonts w:cs="B Mitra" w:hint="cs"/>
                <w:sz w:val="28"/>
                <w:szCs w:val="28"/>
                <w:rtl/>
              </w:rPr>
              <w:t>پروپالدهید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7548A8">
              <w:rPr>
                <w:rFonts w:cs="B Mitra"/>
                <w:sz w:val="28"/>
                <w:szCs w:val="28"/>
                <w:rtl/>
              </w:rPr>
              <w:t>پروپالدهید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824850" w:rsidRPr="00415A4C" w:rsidRDefault="00A72BD9" w:rsidP="00415A4C">
            <w:pPr>
              <w:pStyle w:val="ListParagraph"/>
              <w:bidi w:val="0"/>
              <w:rPr>
                <w:rFonts w:cs="B Mitra" w:hint="cs"/>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Fonts w:hint="cs"/>
        </w:rPr>
      </w:pPr>
    </w:p>
    <w:sectPr w:rsidR="00101F45" w:rsidSect="00415A4C">
      <w:footerReference w:type="default" r:id="rId7"/>
      <w:pgSz w:w="11906" w:h="16838"/>
      <w:pgMar w:top="1440" w:right="1440" w:bottom="1440" w:left="1440" w:header="708" w:footer="708" w:gutter="0"/>
      <w:pgNumType w:start="13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7C" w:rsidRDefault="00E05D7C" w:rsidP="00415A4C">
      <w:pPr>
        <w:spacing w:line="240" w:lineRule="auto"/>
      </w:pPr>
      <w:r>
        <w:separator/>
      </w:r>
    </w:p>
  </w:endnote>
  <w:endnote w:type="continuationSeparator" w:id="0">
    <w:p w:rsidR="00E05D7C" w:rsidRDefault="00E05D7C" w:rsidP="00415A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219733"/>
      <w:docPartObj>
        <w:docPartGallery w:val="Page Numbers (Bottom of Page)"/>
        <w:docPartUnique/>
      </w:docPartObj>
    </w:sdtPr>
    <w:sdtContent>
      <w:p w:rsidR="00415A4C" w:rsidRDefault="00415A4C">
        <w:pPr>
          <w:pStyle w:val="Footer"/>
          <w:jc w:val="center"/>
        </w:pPr>
        <w:fldSimple w:instr=" PAGE   \* MERGEFORMAT ">
          <w:r>
            <w:rPr>
              <w:noProof/>
              <w:rtl/>
            </w:rPr>
            <w:t>141</w:t>
          </w:r>
        </w:fldSimple>
      </w:p>
    </w:sdtContent>
  </w:sdt>
  <w:p w:rsidR="00415A4C" w:rsidRDefault="00415A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7C" w:rsidRDefault="00E05D7C" w:rsidP="00415A4C">
      <w:pPr>
        <w:spacing w:line="240" w:lineRule="auto"/>
      </w:pPr>
      <w:r>
        <w:separator/>
      </w:r>
    </w:p>
  </w:footnote>
  <w:footnote w:type="continuationSeparator" w:id="0">
    <w:p w:rsidR="00E05D7C" w:rsidRDefault="00E05D7C" w:rsidP="00415A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1204"/>
    <w:rsid w:val="00411C59"/>
    <w:rsid w:val="00415A4C"/>
    <w:rsid w:val="0042283A"/>
    <w:rsid w:val="00445AE4"/>
    <w:rsid w:val="00447EE0"/>
    <w:rsid w:val="0047657C"/>
    <w:rsid w:val="00476741"/>
    <w:rsid w:val="004912D1"/>
    <w:rsid w:val="00492571"/>
    <w:rsid w:val="004978F3"/>
    <w:rsid w:val="004A6C10"/>
    <w:rsid w:val="004B3454"/>
    <w:rsid w:val="004B58A6"/>
    <w:rsid w:val="004C3F7F"/>
    <w:rsid w:val="004E5D41"/>
    <w:rsid w:val="005933DE"/>
    <w:rsid w:val="005A3657"/>
    <w:rsid w:val="005A6A2E"/>
    <w:rsid w:val="005B5EA9"/>
    <w:rsid w:val="005C2823"/>
    <w:rsid w:val="00604FEC"/>
    <w:rsid w:val="006739B6"/>
    <w:rsid w:val="006D2E5D"/>
    <w:rsid w:val="006D6DA9"/>
    <w:rsid w:val="0072200B"/>
    <w:rsid w:val="00732822"/>
    <w:rsid w:val="00744C6C"/>
    <w:rsid w:val="007548A8"/>
    <w:rsid w:val="00780960"/>
    <w:rsid w:val="007C39B0"/>
    <w:rsid w:val="00824850"/>
    <w:rsid w:val="00850AF1"/>
    <w:rsid w:val="0089579E"/>
    <w:rsid w:val="008C604A"/>
    <w:rsid w:val="008E7A97"/>
    <w:rsid w:val="008F3F2A"/>
    <w:rsid w:val="009134CF"/>
    <w:rsid w:val="00920AB4"/>
    <w:rsid w:val="00922B26"/>
    <w:rsid w:val="009457A4"/>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0C5C"/>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05D7C"/>
    <w:rsid w:val="00E12906"/>
    <w:rsid w:val="00E30A61"/>
    <w:rsid w:val="00ED0EAD"/>
    <w:rsid w:val="00F47F62"/>
    <w:rsid w:val="00F61E59"/>
    <w:rsid w:val="00F704A9"/>
    <w:rsid w:val="00F748A8"/>
    <w:rsid w:val="00F842E8"/>
    <w:rsid w:val="00FA68DE"/>
    <w:rsid w:val="00FB21E0"/>
    <w:rsid w:val="00FB55D5"/>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415A4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15A4C"/>
  </w:style>
  <w:style w:type="paragraph" w:styleId="Footer">
    <w:name w:val="footer"/>
    <w:basedOn w:val="Normal"/>
    <w:link w:val="FooterChar"/>
    <w:uiPriority w:val="99"/>
    <w:unhideWhenUsed/>
    <w:rsid w:val="00415A4C"/>
    <w:pPr>
      <w:tabs>
        <w:tab w:val="center" w:pos="4513"/>
        <w:tab w:val="right" w:pos="9026"/>
      </w:tabs>
      <w:spacing w:line="240" w:lineRule="auto"/>
    </w:pPr>
  </w:style>
  <w:style w:type="character" w:customStyle="1" w:styleId="FooterChar">
    <w:name w:val="Footer Char"/>
    <w:basedOn w:val="DefaultParagraphFont"/>
    <w:link w:val="Footer"/>
    <w:uiPriority w:val="99"/>
    <w:rsid w:val="00415A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2011-10-07T20:03:00Z</dcterms:modified>
</cp:coreProperties>
</file>