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17"/>
        <w:gridCol w:w="3695"/>
      </w:tblGrid>
      <w:tr w:rsidR="00FC7B0A" w:rsidRPr="00A72BD9" w:rsidTr="00FC7B0A">
        <w:tc>
          <w:tcPr>
            <w:tcW w:w="58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A72BD9" w:rsidRDefault="00FD2FEC" w:rsidP="00FC7B0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هگزالین</w:t>
            </w:r>
          </w:p>
        </w:tc>
        <w:tc>
          <w:tcPr>
            <w:tcW w:w="36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FD2FEC" w:rsidRDefault="00FD2FEC" w:rsidP="00FC7B0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D2FEC">
              <w:rPr>
                <w:rFonts w:cs="Arial"/>
                <w:b/>
                <w:bCs/>
                <w:sz w:val="28"/>
                <w:szCs w:val="28"/>
              </w:rPr>
              <w:t>hexalin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37C2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C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637C24" w:rsidRPr="00637C24">
              <w:rPr>
                <w:rFonts w:cs="B Mitra"/>
                <w:sz w:val="28"/>
                <w:szCs w:val="28"/>
              </w:rPr>
              <w:t>H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637C24" w:rsidRPr="00637C24">
              <w:rPr>
                <w:rFonts w:cs="B Mitra"/>
                <w:sz w:val="28"/>
                <w:szCs w:val="28"/>
              </w:rPr>
              <w:t>O</w:t>
            </w:r>
          </w:p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37C2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108-93-0</w:t>
            </w:r>
          </w:p>
          <w:p w:rsidR="00BC3AA5" w:rsidRPr="00637C2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37C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37C24" w:rsidRPr="00637C24">
              <w:rPr>
                <w:rFonts w:cs="B Mitra"/>
                <w:sz w:val="28"/>
                <w:szCs w:val="28"/>
              </w:rPr>
              <w:t>GV7875000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37C24" w:rsidRDefault="00DC62BE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2FEC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="00FD2FE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؛ هیدرالین؛ هیدروکسی سیکلوهگزان؛ آنول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161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نقطه جوش </w:t>
            </w:r>
            <w:r w:rsidR="00637C24" w:rsidRPr="00637C24">
              <w:rPr>
                <w:rFonts w:cs="B Mitra"/>
                <w:sz w:val="28"/>
                <w:szCs w:val="28"/>
              </w:rPr>
              <w:t>˚c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24 ؛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37C24">
              <w:rPr>
                <w:rFonts w:cs="B Mitra"/>
                <w:sz w:val="28"/>
                <w:szCs w:val="28"/>
              </w:rPr>
              <w:t>mmHg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37C2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962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37C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FC7B0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  <w:r w:rsidR="00637C24">
              <w:rPr>
                <w:rFonts w:cs="B Mitra"/>
                <w:sz w:val="18"/>
                <w:szCs w:val="18"/>
              </w:rPr>
              <w:t xml:space="preserve">          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پنتا دکان و 1/0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%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343314" w:rsidRDefault="00343314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هپتان</w:t>
            </w:r>
          </w:p>
          <w:p w:rsidR="00A2632D" w:rsidRPr="00A72BD9" w:rsidRDefault="0034331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راندمان واجذب؛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هپتان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34331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</w:t>
            </w:r>
            <w:r w:rsidR="0034331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65A3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732822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DC263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D2FEC">
              <w:rPr>
                <w:rFonts w:cs="B Mitra"/>
                <w:sz w:val="24"/>
                <w:szCs w:val="24"/>
                <w:rtl/>
              </w:rPr>
              <w:t>هگزالین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120- 80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FD2FEC">
              <w:rPr>
                <w:rFonts w:cs="B Mitra" w:hint="cs"/>
                <w:sz w:val="28"/>
                <w:szCs w:val="28"/>
                <w:rtl/>
              </w:rPr>
              <w:t>هگزالین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2FEC">
              <w:rPr>
                <w:rFonts w:cs="B Mitra"/>
                <w:sz w:val="28"/>
                <w:szCs w:val="28"/>
                <w:rtl/>
              </w:rPr>
              <w:t>هگزالین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FC7B0A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B0532">
      <w:footerReference w:type="default" r:id="rId7"/>
      <w:pgSz w:w="11906" w:h="16838"/>
      <w:pgMar w:top="1440" w:right="1440" w:bottom="1440" w:left="1440" w:header="708" w:footer="708" w:gutter="0"/>
      <w:pgNumType w:start="8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46" w:rsidRDefault="00431B46" w:rsidP="008B0532">
      <w:pPr>
        <w:spacing w:line="240" w:lineRule="auto"/>
      </w:pPr>
      <w:r>
        <w:separator/>
      </w:r>
    </w:p>
  </w:endnote>
  <w:endnote w:type="continuationSeparator" w:id="0">
    <w:p w:rsidR="00431B46" w:rsidRDefault="00431B46" w:rsidP="008B0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058664"/>
      <w:docPartObj>
        <w:docPartGallery w:val="Page Numbers (Bottom of Page)"/>
        <w:docPartUnique/>
      </w:docPartObj>
    </w:sdtPr>
    <w:sdtContent>
      <w:p w:rsidR="008B0532" w:rsidRDefault="008B053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91</w:t>
          </w:r>
        </w:fldSimple>
      </w:p>
    </w:sdtContent>
  </w:sdt>
  <w:p w:rsidR="008B0532" w:rsidRDefault="008B0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46" w:rsidRDefault="00431B46" w:rsidP="008B0532">
      <w:pPr>
        <w:spacing w:line="240" w:lineRule="auto"/>
      </w:pPr>
      <w:r>
        <w:separator/>
      </w:r>
    </w:p>
  </w:footnote>
  <w:footnote w:type="continuationSeparator" w:id="0">
    <w:p w:rsidR="00431B46" w:rsidRDefault="00431B46" w:rsidP="008B0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6161"/>
    <w:rsid w:val="00052440"/>
    <w:rsid w:val="000A43F4"/>
    <w:rsid w:val="00101F45"/>
    <w:rsid w:val="00150538"/>
    <w:rsid w:val="002035B8"/>
    <w:rsid w:val="002B6596"/>
    <w:rsid w:val="0031259A"/>
    <w:rsid w:val="00331C15"/>
    <w:rsid w:val="00343314"/>
    <w:rsid w:val="003A1204"/>
    <w:rsid w:val="00431B46"/>
    <w:rsid w:val="00637C24"/>
    <w:rsid w:val="006D6DA9"/>
    <w:rsid w:val="00732822"/>
    <w:rsid w:val="00744C6C"/>
    <w:rsid w:val="007A4F35"/>
    <w:rsid w:val="007C39B0"/>
    <w:rsid w:val="008B0532"/>
    <w:rsid w:val="00922B26"/>
    <w:rsid w:val="009B31AA"/>
    <w:rsid w:val="009D73D2"/>
    <w:rsid w:val="009F3960"/>
    <w:rsid w:val="00A00F8C"/>
    <w:rsid w:val="00A2632D"/>
    <w:rsid w:val="00A576ED"/>
    <w:rsid w:val="00A72BD9"/>
    <w:rsid w:val="00A731F3"/>
    <w:rsid w:val="00B02761"/>
    <w:rsid w:val="00BC3AA5"/>
    <w:rsid w:val="00BE0CBA"/>
    <w:rsid w:val="00CB2725"/>
    <w:rsid w:val="00D736FE"/>
    <w:rsid w:val="00D765A3"/>
    <w:rsid w:val="00D877EB"/>
    <w:rsid w:val="00DC263A"/>
    <w:rsid w:val="00DC62BE"/>
    <w:rsid w:val="00DD13E0"/>
    <w:rsid w:val="00DE3D8B"/>
    <w:rsid w:val="00E05C5D"/>
    <w:rsid w:val="00F47F62"/>
    <w:rsid w:val="00F704A9"/>
    <w:rsid w:val="00F748A8"/>
    <w:rsid w:val="00FA68DE"/>
    <w:rsid w:val="00FC7B0A"/>
    <w:rsid w:val="00FD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05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532"/>
  </w:style>
  <w:style w:type="paragraph" w:styleId="Footer">
    <w:name w:val="footer"/>
    <w:basedOn w:val="Normal"/>
    <w:link w:val="FooterChar"/>
    <w:uiPriority w:val="99"/>
    <w:unhideWhenUsed/>
    <w:rsid w:val="008B05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2011-10-07T19:42:00Z</dcterms:modified>
</cp:coreProperties>
</file>